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</w:t>
      </w:r>
      <w:r w:rsidR="00195BEF">
        <w:rPr>
          <w:rFonts w:ascii="Calibri" w:hAnsi="Calibri"/>
          <w:b/>
          <w:bCs/>
          <w:sz w:val="24"/>
          <w:szCs w:val="24"/>
          <w:lang w:val="uk-UA"/>
        </w:rPr>
        <w:t>листопад</w:t>
      </w:r>
      <w:r w:rsidR="009623BC">
        <w:rPr>
          <w:rFonts w:ascii="Calibri" w:hAnsi="Calibri"/>
          <w:b/>
          <w:bCs/>
          <w:sz w:val="24"/>
          <w:szCs w:val="24"/>
          <w:lang w:val="uk-UA"/>
        </w:rPr>
        <w:t>і</w:t>
      </w:r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195BEF">
              <w:rPr>
                <w:rFonts w:ascii="Calibri" w:hAnsi="Calibri" w:cs="Times New Roman CYR"/>
                <w:sz w:val="22"/>
                <w:szCs w:val="22"/>
                <w:lang w:val="uk-UA"/>
              </w:rPr>
              <w:t>листопада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6047EB" w:rsidRPr="00076B9E" w:rsidRDefault="006047EB" w:rsidP="006047EB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6047EB" w:rsidRPr="0040327C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9623BC"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</w:t>
            </w:r>
            <w:r w:rsidR="00195BEF">
              <w:rPr>
                <w:rFonts w:ascii="Calibri" w:hAnsi="Calibri" w:cs="Times New Roman CYR"/>
                <w:sz w:val="22"/>
                <w:szCs w:val="22"/>
                <w:lang w:val="uk-UA"/>
              </w:rPr>
              <w:t>листопада</w:t>
            </w:r>
          </w:p>
          <w:p w:rsidR="000E0B26" w:rsidRPr="001B5A61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8E02FF" w:rsidRDefault="00EF618F" w:rsidP="00EF618F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EF618F" w:rsidRPr="00BA1E1B" w:rsidRDefault="00EF618F" w:rsidP="00BA1E1B">
            <w:pPr>
              <w:spacing w:before="60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BA1E1B">
              <w:rPr>
                <w:rFonts w:asciiTheme="minorHAnsi" w:hAnsiTheme="minorHAnsi" w:cs="Times New Roman CYR"/>
                <w:b/>
                <w:sz w:val="22"/>
                <w:szCs w:val="22"/>
              </w:rPr>
              <w:t>2514624,7</w:t>
            </w:r>
          </w:p>
        </w:tc>
        <w:tc>
          <w:tcPr>
            <w:tcW w:w="1094" w:type="dxa"/>
            <w:vAlign w:val="bottom"/>
          </w:tcPr>
          <w:p w:rsidR="00EF618F" w:rsidRPr="00BA1E1B" w:rsidRDefault="00EF618F" w:rsidP="00BA1E1B">
            <w:pPr>
              <w:spacing w:before="6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1E1B">
              <w:rPr>
                <w:rFonts w:asciiTheme="minorHAnsi" w:hAnsiTheme="minorHAnsi" w:cs="Times New Roman CYR"/>
                <w:b/>
                <w:sz w:val="22"/>
                <w:szCs w:val="22"/>
              </w:rPr>
              <w:t>105,7</w:t>
            </w:r>
          </w:p>
        </w:tc>
        <w:tc>
          <w:tcPr>
            <w:tcW w:w="952" w:type="dxa"/>
            <w:vAlign w:val="bottom"/>
          </w:tcPr>
          <w:p w:rsidR="00EF618F" w:rsidRPr="00BA1E1B" w:rsidRDefault="00EF618F" w:rsidP="00BA1E1B">
            <w:pPr>
              <w:spacing w:before="6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1E1B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EF618F" w:rsidRPr="00BA1E1B" w:rsidRDefault="00EF618F" w:rsidP="00BA1E1B">
            <w:pPr>
              <w:spacing w:before="6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1E1B">
              <w:rPr>
                <w:rFonts w:asciiTheme="minorHAnsi" w:hAnsiTheme="minorHAnsi" w:cs="Times New Roman CYR"/>
                <w:b/>
                <w:sz w:val="22"/>
                <w:szCs w:val="22"/>
              </w:rPr>
              <w:t>5221182,0</w:t>
            </w:r>
          </w:p>
        </w:tc>
        <w:tc>
          <w:tcPr>
            <w:tcW w:w="1094" w:type="dxa"/>
            <w:vAlign w:val="bottom"/>
          </w:tcPr>
          <w:p w:rsidR="00EF618F" w:rsidRPr="00BA1E1B" w:rsidRDefault="00EF618F" w:rsidP="00BA1E1B">
            <w:pPr>
              <w:spacing w:before="6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1E1B">
              <w:rPr>
                <w:rFonts w:asciiTheme="minorHAnsi" w:hAnsiTheme="minorHAnsi" w:cs="Times New Roman CYR"/>
                <w:b/>
                <w:sz w:val="22"/>
                <w:szCs w:val="22"/>
              </w:rPr>
              <w:t>99,0</w:t>
            </w:r>
          </w:p>
        </w:tc>
        <w:tc>
          <w:tcPr>
            <w:tcW w:w="932" w:type="dxa"/>
            <w:vAlign w:val="bottom"/>
          </w:tcPr>
          <w:p w:rsidR="00EF618F" w:rsidRPr="00BA1E1B" w:rsidRDefault="00EF618F" w:rsidP="00BA1E1B">
            <w:pPr>
              <w:spacing w:before="60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BA1E1B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EF618F" w:rsidRPr="00C95B90" w:rsidTr="00BE4DDD">
        <w:trPr>
          <w:tblCellSpacing w:w="20" w:type="dxa"/>
        </w:trPr>
        <w:tc>
          <w:tcPr>
            <w:tcW w:w="3201" w:type="dxa"/>
            <w:vAlign w:val="bottom"/>
          </w:tcPr>
          <w:p w:rsidR="00EF618F" w:rsidRPr="003E683D" w:rsidRDefault="00EF618F" w:rsidP="00EF618F">
            <w:pPr>
              <w:spacing w:before="5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</w:tcPr>
          <w:p w:rsidR="00EF618F" w:rsidRPr="00EF618F" w:rsidRDefault="00EF618F" w:rsidP="00EF618F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</w:tcPr>
          <w:p w:rsidR="00EF618F" w:rsidRPr="00EF618F" w:rsidRDefault="00EF618F" w:rsidP="00EF6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:rsidR="00EF618F" w:rsidRPr="00EF618F" w:rsidRDefault="00EF618F" w:rsidP="00EF6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</w:tcPr>
          <w:p w:rsidR="00EF618F" w:rsidRPr="00EF618F" w:rsidRDefault="00EF618F" w:rsidP="00EF6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</w:tcPr>
          <w:p w:rsidR="00EF618F" w:rsidRPr="00EF618F" w:rsidRDefault="00EF618F" w:rsidP="00EF6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EF618F" w:rsidRPr="00EF618F" w:rsidRDefault="00EF618F" w:rsidP="00EF61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I. Живi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53523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bookmarkStart w:id="0" w:name="_GoBack"/>
            <w:bookmarkEnd w:id="0"/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123416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13704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29503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11938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58167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15833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36219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4938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3387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369525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320856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10496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2507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77678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82653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175499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49459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179987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4402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95239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2858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2435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2308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328841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301263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206573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2957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6285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83093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9625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14898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16466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80196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14489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26043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22928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24864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17106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68494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82418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2804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16285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1357599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8355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12701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1349155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21935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279116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23978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46261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1896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17996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30486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2463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40247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3976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29808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4552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55083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3622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9541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2577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3837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22928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17340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334496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16934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260470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74026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48897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85818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39147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66137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9741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18474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208773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20919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207365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20368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72510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125041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25427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70621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97474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1889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153604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517072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4966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6756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27272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19270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19434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19544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41223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43932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42992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128721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54370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99634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47347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100631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11262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59205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9670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53667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3606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19428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70956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14846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13884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31327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3739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25744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напівдорогоцінне каміння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63339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310074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121622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32935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94863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4467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6596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2413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21271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11954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49948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449452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694475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60148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296901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389304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397573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22008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530576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6351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2453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15466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445236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82674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57862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5177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56966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BA1E1B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351843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85083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341240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53780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EF618F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7521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12194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EF618F" w:rsidRPr="00C95B90" w:rsidTr="00BA1E1B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EF618F" w:rsidRPr="001B5A61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3081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19108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EF618F" w:rsidRPr="00433053" w:rsidTr="00BA1E1B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EF618F" w:rsidRPr="003E489E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8665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24638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919834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EF618F" w:rsidRPr="00433053" w:rsidTr="00BA1E1B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EF618F" w:rsidRDefault="00EF618F" w:rsidP="00EF618F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7617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EF618F" w:rsidRPr="00EF618F" w:rsidRDefault="00EF618F" w:rsidP="00BA1E1B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EF618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E6" w:rsidRDefault="00AF3BE6">
      <w:r>
        <w:separator/>
      </w:r>
    </w:p>
  </w:endnote>
  <w:endnote w:type="continuationSeparator" w:id="0">
    <w:p w:rsidR="00AF3BE6" w:rsidRDefault="00AF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E6" w:rsidRDefault="00AF3BE6">
      <w:r>
        <w:separator/>
      </w:r>
    </w:p>
  </w:footnote>
  <w:footnote w:type="continuationSeparator" w:id="0">
    <w:p w:rsidR="00AF3BE6" w:rsidRDefault="00AF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EF" w:rsidRDefault="00195BEF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95BEF" w:rsidRDefault="00195BEF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95BEF" w:rsidRPr="00902619" w:rsidRDefault="00195BEF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14678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B7563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6D"/>
    <w:rsid w:val="001867E6"/>
    <w:rsid w:val="0018693F"/>
    <w:rsid w:val="00193562"/>
    <w:rsid w:val="00194E53"/>
    <w:rsid w:val="00195BEF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5BDE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0FF4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9E1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61548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D4866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A62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7EB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12DE"/>
    <w:rsid w:val="006B2306"/>
    <w:rsid w:val="006B35C0"/>
    <w:rsid w:val="006B3D0D"/>
    <w:rsid w:val="006B47B3"/>
    <w:rsid w:val="006B5521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04F0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527D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04D3"/>
    <w:rsid w:val="009623BC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37A3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6BC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3BE6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4357"/>
    <w:rsid w:val="00B96731"/>
    <w:rsid w:val="00B978AD"/>
    <w:rsid w:val="00BA1E1B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27A8"/>
    <w:rsid w:val="00BD3A7C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027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5610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31C3"/>
    <w:rsid w:val="00D54C39"/>
    <w:rsid w:val="00D61F09"/>
    <w:rsid w:val="00D6359D"/>
    <w:rsid w:val="00D658A7"/>
    <w:rsid w:val="00D6758B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4AF0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618F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26D53"/>
    <w:rsid w:val="00F306EC"/>
    <w:rsid w:val="00F30F05"/>
    <w:rsid w:val="00F31241"/>
    <w:rsid w:val="00F318A0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4743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9158-BF88-4F9F-B269-3FCBE7A7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5301</Words>
  <Characters>3022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7</cp:revision>
  <cp:lastPrinted>2016-04-13T13:22:00Z</cp:lastPrinted>
  <dcterms:created xsi:type="dcterms:W3CDTF">2024-11-06T12:58:00Z</dcterms:created>
  <dcterms:modified xsi:type="dcterms:W3CDTF">2025-01-13T11:59:00Z</dcterms:modified>
</cp:coreProperties>
</file>